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CE" w:rsidRPr="00C320CE" w:rsidRDefault="00C320CE" w:rsidP="00C320CE">
      <w:pPr>
        <w:shd w:val="clear" w:color="auto" w:fill="FFFFFF"/>
        <w:spacing w:after="0" w:line="336" w:lineRule="atLeast"/>
        <w:textAlignment w:val="baseline"/>
        <w:outlineLvl w:val="1"/>
        <w:rPr>
          <w:rFonts w:ascii="Univers LT Std" w:eastAsia="Times New Roman" w:hAnsi="Univers LT Std" w:cs="Times New Roman"/>
          <w:sz w:val="35"/>
          <w:szCs w:val="35"/>
          <w:lang w:eastAsia="fr-FR"/>
        </w:rPr>
      </w:pPr>
      <w:r w:rsidRPr="00C320CE">
        <w:rPr>
          <w:rFonts w:ascii="Univers LT Std" w:eastAsia="Times New Roman" w:hAnsi="Univers LT Std" w:cs="Times New Roman"/>
          <w:sz w:val="35"/>
          <w:szCs w:val="35"/>
          <w:lang w:eastAsia="fr-FR"/>
        </w:rPr>
        <w:t xml:space="preserve">Call for </w:t>
      </w:r>
      <w:proofErr w:type="spellStart"/>
      <w:r w:rsidRPr="00C320CE">
        <w:rPr>
          <w:rFonts w:ascii="Univers LT Std" w:eastAsia="Times New Roman" w:hAnsi="Univers LT Std" w:cs="Times New Roman"/>
          <w:sz w:val="35"/>
          <w:szCs w:val="35"/>
          <w:lang w:eastAsia="fr-FR"/>
        </w:rPr>
        <w:t>Papers</w:t>
      </w:r>
      <w:proofErr w:type="spellEnd"/>
      <w:r w:rsidRPr="00C320CE">
        <w:rPr>
          <w:rFonts w:ascii="Univers LT Std" w:eastAsia="Times New Roman" w:hAnsi="Univers LT Std" w:cs="Times New Roman"/>
          <w:sz w:val="35"/>
          <w:szCs w:val="35"/>
          <w:lang w:eastAsia="fr-FR"/>
        </w:rPr>
        <w:t>: AU ECHO 2024 Edition</w:t>
      </w:r>
    </w:p>
    <w:p w:rsidR="00C320CE" w:rsidRPr="00C320CE" w:rsidRDefault="00C320CE" w:rsidP="00C320CE">
      <w:pPr>
        <w:shd w:val="clear" w:color="auto" w:fill="FFFFFF"/>
        <w:spacing w:after="0" w:line="240" w:lineRule="auto"/>
        <w:textAlignment w:val="baseline"/>
        <w:rPr>
          <w:rFonts w:ascii="Univers LT Std" w:eastAsia="Times New Roman" w:hAnsi="Univers LT Std" w:cs="Times New Roman"/>
          <w:sz w:val="21"/>
          <w:szCs w:val="21"/>
          <w:bdr w:val="none" w:sz="0" w:space="0" w:color="auto" w:frame="1"/>
          <w:lang w:eastAsia="fr-FR"/>
        </w:rPr>
      </w:pPr>
      <w:r w:rsidRPr="00C320CE">
        <w:rPr>
          <w:rFonts w:ascii="Univers LT Std" w:eastAsia="Times New Roman" w:hAnsi="Univers LT Std" w:cs="Times New Roman"/>
          <w:sz w:val="21"/>
          <w:szCs w:val="21"/>
          <w:bdr w:val="none" w:sz="0" w:space="0" w:color="auto" w:frame="1"/>
          <w:lang w:eastAsia="fr-FR"/>
        </w:rPr>
        <w:t>Octobre 03, 2023 to octobre 26, 2023</w:t>
      </w:r>
    </w:p>
    <w:p w:rsidR="00C320CE" w:rsidRPr="00C320CE" w:rsidRDefault="00C320CE" w:rsidP="00C320CE">
      <w:pPr>
        <w:shd w:val="clear" w:color="auto" w:fill="FFFFFF"/>
        <w:spacing w:after="0" w:line="240" w:lineRule="auto"/>
        <w:textAlignment w:val="baseline"/>
        <w:rPr>
          <w:rFonts w:ascii="Univers LT Std" w:eastAsia="Times New Roman" w:hAnsi="Univers LT Std" w:cs="Times New Roman"/>
          <w:sz w:val="21"/>
          <w:szCs w:val="21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0" w:line="240" w:lineRule="auto"/>
        <w:textAlignment w:val="baseline"/>
        <w:rPr>
          <w:rFonts w:ascii="Univers LT Std" w:eastAsia="Times New Roman" w:hAnsi="Univers LT Std" w:cs="Times New Roman"/>
          <w:sz w:val="21"/>
          <w:szCs w:val="21"/>
          <w:lang w:eastAsia="fr-FR"/>
        </w:rPr>
      </w:pPr>
      <w:r w:rsidRPr="00C320CE">
        <w:rPr>
          <w:rFonts w:ascii="Univers LT Std" w:eastAsia="Times New Roman" w:hAnsi="Univers LT Std" w:cs="Times New Roman"/>
          <w:noProof/>
          <w:sz w:val="21"/>
          <w:szCs w:val="21"/>
          <w:lang w:eastAsia="fr-FR"/>
        </w:rPr>
        <w:drawing>
          <wp:inline distT="0" distB="0" distL="0" distR="0">
            <wp:extent cx="3429000" cy="1645920"/>
            <wp:effectExtent l="0" t="0" r="0" b="0"/>
            <wp:docPr id="1" name="Image 1" descr="https://au.int/sites/default/files/styles/medium/public/announcements/43193-annc-AUECHO_Banner_WEB.png?itok=6X29D7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.int/sites/default/files/styles/medium/public/announcements/43193-annc-AUECHO_Banner_WEB.png?itok=6X29D7Q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  <w:t xml:space="preserve">The </w:t>
      </w:r>
      <w:proofErr w:type="spellStart"/>
      <w:r w:rsidRPr="00C320CE"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  <w:t xml:space="preserve"> of Education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</w:pPr>
      <w:r w:rsidRPr="00C320CE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  <w:lang w:eastAsia="fr-FR"/>
        </w:rPr>
        <w:t>THEME: “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fit for the 21</w:t>
      </w:r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st </w:t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Century: Building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resilient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systems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increased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inclusive,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lifelong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quality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and relevant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learning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”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  <w:t>Introduction: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2024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Recent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reviews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the Continental Education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Strategy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(CESA) and Education 2030 Framework for Action, the AU-UNESCO continental report of the </w:t>
      </w:r>
      <w:hyperlink r:id="rId6" w:history="1"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>CESA </w:t>
        </w:r>
      </w:hyperlink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and </w:t>
      </w:r>
      <w:hyperlink r:id="rId7" w:history="1"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>SDG4 </w:t>
        </w:r>
      </w:hyperlink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and a joint AU-UNICEF report 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Transforming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Education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point to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fact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that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over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past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years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governments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have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undertaken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wide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range of programmes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policy-level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efforts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ensure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that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no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child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left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behind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There have been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substantial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efforts on the continent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ensure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completion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quality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basic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all.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Overall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, the proportion of out-of-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children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had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decreased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until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around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2010.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completion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rates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had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improved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lower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secondary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well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as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and the participation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Technical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Vocational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Education and Training (TVET). There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was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also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noticeable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progress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pre-primary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adult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literacy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lifelong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learning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regards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feeding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low-income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countries have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doubled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their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national budget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expenditures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Home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Grown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Feeding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(HGSF)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from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17 percent to 33 percent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between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2013 and 2020.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lower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middle-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income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countries, national budgets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now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account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88%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meals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financing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up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from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55%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2013.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However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despite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efforts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progress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made,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three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main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indicators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ring a warning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: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Arial" w:eastAsia="Times New Roman" w:hAnsi="Arial" w:cs="Arial"/>
          <w:position w:val="-2"/>
          <w:sz w:val="24"/>
          <w:szCs w:val="24"/>
          <w:bdr w:val="none" w:sz="0" w:space="0" w:color="auto" w:frame="1"/>
          <w:lang w:eastAsia="fr-FR"/>
        </w:rPr>
        <w:t>▪ 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Although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out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rate, i.e. the “proportion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children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young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people in the official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age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range for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given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who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are not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enrolled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-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lastRenderedPageBreak/>
        <w:t>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secondary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higher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”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keeps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steadily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decreasing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especially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absolute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number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has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reached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alarming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global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estimate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 </w:t>
      </w:r>
      <w:hyperlink r:id="rId8" w:history="1"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 xml:space="preserve">98 million in </w:t>
        </w:r>
        <w:proofErr w:type="spellStart"/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>Africa</w:t>
        </w:r>
        <w:proofErr w:type="spellEnd"/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>.</w:t>
        </w:r>
      </w:hyperlink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gramStart"/>
      <w:r w:rsidRPr="00C320CE">
        <w:rPr>
          <w:rFonts w:ascii="Arial" w:eastAsia="Times New Roman" w:hAnsi="Arial" w:cs="Arial"/>
          <w:position w:val="-2"/>
          <w:sz w:val="24"/>
          <w:szCs w:val="24"/>
          <w:bdr w:val="none" w:sz="0" w:space="0" w:color="auto" w:frame="1"/>
          <w:lang w:eastAsia="fr-FR"/>
        </w:rPr>
        <w:t>▪  </w:t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</w:t>
      </w:r>
      <w:proofErr w:type="gram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learning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poverty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rate, i.e. “the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share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children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who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cannot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read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 simple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text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comprehension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by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age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10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was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highest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sub-Saharan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before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COVID-19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pandemic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at 86%. This rate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likely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have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worsened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after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pandemic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estimated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now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at 90%. This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means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that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nine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out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children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cannot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read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 simple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text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comprehension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by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age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10.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gram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▪ 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proofErr w:type="gram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need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17 million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additional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teachers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order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achieve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universal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primary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secondary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by 2030.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At the global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within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Global Education Coordination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Mechanism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framework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by UNESCO,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Union has been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key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player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regional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gram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coordination</w:t>
      </w:r>
      <w:proofErr w:type="gram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CESA and SDG4 support for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cooperation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among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countries. This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through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convening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Member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States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partners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making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critical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contributions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promoting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evidence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use,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priority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setting,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peer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learning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monitoring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mechanism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Similarly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at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Union’s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fldChar w:fldCharType="begin"/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instrText xml:space="preserve"> HYPERLINK "https://au.int/en/pressreleases/20220829/fourth-ordinary-session-specialized-technical-committee-est-responsive-and" </w:instrText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fldChar w:fldCharType="separate"/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Specialized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Technical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Committee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Education, Science,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Technology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Innovation (STC-EST4)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fldChar w:fldCharType="end"/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held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1</w:t>
      </w:r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st </w:t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and 2</w:t>
      </w:r>
      <w:proofErr w:type="spellStart"/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nd</w:t>
      </w:r>
      <w:proofErr w:type="spellEnd"/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September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2022,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Ministers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their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declaration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Education, Science,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Technology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Innovation,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requested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AU Commission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facilitate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adoption by the AU of an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related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theme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2024,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address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burden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disruptions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caused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by COVID-19 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systems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promote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systematic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implementation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transforming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for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accelerated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implementation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CESA 2016-2025 and SDG 4.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Progress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has a far-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reaching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impact on all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other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aspects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human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capital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development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The large population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young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people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powerful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source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economic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growth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progress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provided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receives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quality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skills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21</w:t>
      </w:r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st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century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job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opportunities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Investing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thus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most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effective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investment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fight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against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poverty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reducing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gender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inequalities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enabling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people to survive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thrive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helping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improve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socio-economic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development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Education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also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associated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more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peaceful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communities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greater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civic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engagement,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stronger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democracies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2024,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dedicated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opportunity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Union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-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galvanize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Member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States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towards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achievement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CESA and SDG4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targets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Importantly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this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come as a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follow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-up to the STC-EST4, AU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Declarations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, the Urgent Call for Action by the SDG4 High-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Steering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Committee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the UN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Secretary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General’s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Vision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Statement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Transforming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Education. It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engage the </w:t>
      </w: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lastRenderedPageBreak/>
        <w:t xml:space="preserve">AU Commission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mobilize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governments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development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partners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rethink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models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skill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development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needed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Want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the 21</w:t>
      </w:r>
      <w:r w:rsidRPr="00C320CE">
        <w:rPr>
          <w:rFonts w:ascii="Arial" w:eastAsia="Times New Roman" w:hAnsi="Arial" w:cs="Arial"/>
          <w:position w:val="6"/>
          <w:sz w:val="24"/>
          <w:szCs w:val="24"/>
          <w:bdr w:val="none" w:sz="0" w:space="0" w:color="auto" w:frame="1"/>
          <w:lang w:eastAsia="fr-FR"/>
        </w:rPr>
        <w:t>st 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century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inherit" w:eastAsia="Times New Roman" w:hAnsi="inherit" w:cs="Arial"/>
          <w:b/>
          <w:bCs/>
          <w:sz w:val="30"/>
          <w:szCs w:val="30"/>
          <w:bdr w:val="none" w:sz="0" w:space="0" w:color="auto" w:frame="1"/>
          <w:lang w:eastAsia="fr-FR"/>
        </w:rPr>
        <w:t>The Call: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Referencing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decisions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declarations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the AU as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well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other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documented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pronouncements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actions by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Union, and in line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theme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interested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parties are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hereby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called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upon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submit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the 2024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edition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the AU ECHO, incisive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evidence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based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articles on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potential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progress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made in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implementation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mainstreaming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AU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decisions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field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well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gram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as</w:t>
      </w:r>
      <w:proofErr w:type="gram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initiatives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that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are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undertaken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institutional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country and continental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levels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promote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education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based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AU’s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decisions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declarations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. Articles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may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also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dedicated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activities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held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celebrate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Day of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School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Feeding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i.e. 1st March in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their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countries 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regions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Submissions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based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on the Continental Education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Strategy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for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(CESA 16-25). </w:t>
      </w:r>
      <w:hyperlink r:id="rId9" w:history="1">
        <w:r w:rsidRPr="00C320CE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fr-FR"/>
          </w:rPr>
          <w:t>https://au.int/node/29514</w:t>
        </w:r>
      </w:hyperlink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To support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their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arguments,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writers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r-FR"/>
        </w:rPr>
        <w:t>reference</w:t>
      </w:r>
      <w:proofErr w:type="spellEnd"/>
    </w:p>
    <w:p w:rsidR="00C320CE" w:rsidRPr="00C320CE" w:rsidRDefault="00C320CE" w:rsidP="00C320CE">
      <w:pPr>
        <w:numPr>
          <w:ilvl w:val="0"/>
          <w:numId w:val="6"/>
        </w:numPr>
        <w:shd w:val="clear" w:color="auto" w:fill="FFFFFF"/>
        <w:spacing w:after="0" w:line="384" w:lineRule="atLeast"/>
        <w:ind w:left="426" w:hanging="284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Agenda 2063,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available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here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</w:t>
      </w:r>
      <w:hyperlink r:id="rId10" w:history="1">
        <w:r w:rsidRPr="00C320CE">
          <w:rPr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https://au.int/agenda2063/overview</w:t>
        </w:r>
      </w:hyperlink>
    </w:p>
    <w:p w:rsidR="00C320CE" w:rsidRPr="00C320CE" w:rsidRDefault="00C320CE" w:rsidP="00C320CE">
      <w:pPr>
        <w:numPr>
          <w:ilvl w:val="0"/>
          <w:numId w:val="6"/>
        </w:numPr>
        <w:shd w:val="clear" w:color="auto" w:fill="FFFFFF"/>
        <w:spacing w:after="0" w:line="384" w:lineRule="atLeast"/>
        <w:ind w:left="426" w:hanging="284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Relevant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treaties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AU</w:t>
      </w:r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   </w:t>
      </w:r>
      <w:hyperlink r:id="rId11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https://au.int/en/treaties</w:t>
        </w:r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 xml:space="preserve">  </w:t>
        </w:r>
      </w:hyperlink>
    </w:p>
    <w:p w:rsidR="00C320CE" w:rsidRPr="00C320CE" w:rsidRDefault="00C320CE" w:rsidP="00C320CE">
      <w:pPr>
        <w:numPr>
          <w:ilvl w:val="0"/>
          <w:numId w:val="6"/>
        </w:numPr>
        <w:shd w:val="clear" w:color="auto" w:fill="FFFFFF"/>
        <w:spacing w:after="0" w:line="384" w:lineRule="atLeast"/>
        <w:ind w:left="426" w:hanging="284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0" w:line="384" w:lineRule="atLeast"/>
        <w:ind w:left="142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Other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useful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 xml:space="preserve"> source documents are:</w:t>
      </w:r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Statute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Pan-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University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(PAU)   </w:t>
      </w:r>
      <w:hyperlink r:id="rId12" w:history="1">
        <w:r w:rsidRPr="00C320C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 xml:space="preserve">https://au.int/node/33127 </w:t>
        </w:r>
      </w:hyperlink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 Continental TVET Strategy </w:t>
      </w:r>
      <w:hyperlink r:id="rId13" w:history="1">
        <w:r w:rsidRPr="00C320C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https://au.int/en/documents/20181022/continental-strategy-technical-and-vocational-educational-and-training-tvet</w:t>
        </w:r>
      </w:hyperlink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Statute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Union International Centre for Girls’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Women’s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Education in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(AU/CIEFFA) </w:t>
      </w:r>
      <w:hyperlink r:id="rId14" w:history="1">
        <w:r w:rsidRPr="00C320C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https://cieffa.au.int/sites/default/files/files/2022-04/statuteau-cieffaeng.pdf</w:t>
        </w:r>
      </w:hyperlink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The AU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Strategy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for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Gender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Equality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Women’s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Empowerment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</w:t>
      </w:r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hyperlink r:id="rId15" w:history="1">
        <w:r w:rsidRPr="00C320C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https://au.int/node/36195</w:t>
        </w:r>
      </w:hyperlink>
    </w:p>
    <w:p w:rsidR="00C320CE" w:rsidRPr="00C320CE" w:rsidRDefault="00C320CE" w:rsidP="00C320CE">
      <w:pPr>
        <w:pStyle w:val="Paragraphedeliste"/>
        <w:numPr>
          <w:ilvl w:val="0"/>
          <w:numId w:val="8"/>
        </w:numPr>
        <w:shd w:val="clear" w:color="auto" w:fill="FFFFFF"/>
        <w:spacing w:after="0" w:line="384" w:lineRule="atLeast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View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previous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editions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AU ECHO</w:t>
      </w:r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:</w:t>
      </w:r>
      <w:bookmarkStart w:id="0" w:name="_GoBack"/>
      <w:bookmarkEnd w:id="0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</w:t>
      </w:r>
      <w:hyperlink r:id="rId16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https://au.int/en/documents/1148</w:t>
        </w:r>
      </w:hyperlink>
      <w:r w:rsidRPr="00C320CE">
        <w:rPr>
          <w:rFonts w:ascii="Symbol" w:eastAsia="Times New Roman" w:hAnsi="Symbol" w:cs="Times New Roman"/>
          <w:position w:val="2"/>
          <w:lang w:eastAsia="fr-FR"/>
        </w:rPr>
        <w:br/>
      </w:r>
      <w:r w:rsidRPr="00C320CE">
        <w:rPr>
          <w:rFonts w:ascii="Symbol" w:eastAsia="Times New Roman" w:hAnsi="Symbol" w:cs="Times New Roman"/>
          <w:position w:val="2"/>
          <w:lang w:eastAsia="fr-FR"/>
        </w:rPr>
        <w:br/>
      </w:r>
      <w:r w:rsidRPr="00C320CE">
        <w:rPr>
          <w:rFonts w:ascii="Symbol" w:eastAsia="Times New Roman" w:hAnsi="Symbol" w:cs="Times New Roman"/>
          <w:position w:val="2"/>
          <w:lang w:eastAsia="fr-FR"/>
        </w:rPr>
        <w:br/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Submission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Requirements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 xml:space="preserve"> &amp; Deadline:</w:t>
      </w:r>
    </w:p>
    <w:p w:rsidR="00C320CE" w:rsidRPr="00C320CE" w:rsidRDefault="00C320CE" w:rsidP="00C320CE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Original contributions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accepted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from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institutions,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organs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employees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Union, AU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member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states,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academic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institutions,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think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tanks, civil </w:t>
      </w:r>
      <w:proofErr w:type="gram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lastRenderedPageBreak/>
        <w:t>society</w:t>
      </w:r>
      <w:proofErr w:type="gram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organisations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representative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groups (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e.g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women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youth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),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industry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experts and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wider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public. The editors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reserve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right to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reject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papers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deem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inconsistent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guidelines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outlined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call for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papers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connection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made to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theme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outlined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concept note,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its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objectives</w:t>
      </w:r>
    </w:p>
    <w:p w:rsidR="00C320CE" w:rsidRPr="00C320CE" w:rsidRDefault="00C320CE" w:rsidP="00C320CE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Languages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: Articles for publication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may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submitted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 English or French.</w:t>
      </w:r>
    </w:p>
    <w:p w:rsidR="00C320CE" w:rsidRPr="00C320CE" w:rsidRDefault="00C320CE" w:rsidP="00C320CE">
      <w:pPr>
        <w:numPr>
          <w:ilvl w:val="0"/>
          <w:numId w:val="4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Word count: Not more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1500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words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per article.</w:t>
      </w:r>
    </w:p>
    <w:p w:rsidR="00C320CE" w:rsidRPr="00C320CE" w:rsidRDefault="00C320CE" w:rsidP="00C320CE">
      <w:pPr>
        <w:numPr>
          <w:ilvl w:val="0"/>
          <w:numId w:val="5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Images: Pertinent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photographs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other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illustrations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that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enhance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articles are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welcome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sent in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same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email as the article.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These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must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original to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author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and/or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under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creative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common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license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Authors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must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confirm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their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ownership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such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illustrations and captions must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provided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.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Photographs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me a minimum 1mb in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resolution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should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sent as 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separate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attachment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 the article.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Embedding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photographs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 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word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file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may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lead to disqualification. No PDF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submissions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accepted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numPr>
          <w:ilvl w:val="0"/>
          <w:numId w:val="5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All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submissions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must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contain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full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name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contact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details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sender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his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/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her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organization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/ job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title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(if applicable), and 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brief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summary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article.</w:t>
      </w:r>
    </w:p>
    <w:p w:rsidR="00C320CE" w:rsidRPr="00C320CE" w:rsidRDefault="00C320CE" w:rsidP="00C320CE">
      <w:pPr>
        <w:numPr>
          <w:ilvl w:val="0"/>
          <w:numId w:val="5"/>
        </w:numPr>
        <w:shd w:val="clear" w:color="auto" w:fill="FFFFFF"/>
        <w:spacing w:after="0" w:line="384" w:lineRule="atLeast"/>
        <w:ind w:left="0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Submissions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will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only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accepted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through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email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which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</w:t>
      </w:r>
      <w:r w:rsidRPr="00C320CE">
        <w:rPr>
          <w:rFonts w:ascii="inherit" w:eastAsia="Times New Roman" w:hAnsi="inherit" w:cs="Arial"/>
          <w:b/>
          <w:bCs/>
          <w:i/>
          <w:iCs/>
          <w:position w:val="2"/>
          <w:sz w:val="24"/>
          <w:szCs w:val="24"/>
          <w:bdr w:val="none" w:sz="0" w:space="0" w:color="auto" w:frame="1"/>
          <w:lang w:eastAsia="fr-FR"/>
        </w:rPr>
        <w:t xml:space="preserve">must </w:t>
      </w:r>
      <w:proofErr w:type="spellStart"/>
      <w:r w:rsidRPr="00C320CE">
        <w:rPr>
          <w:rFonts w:ascii="inherit" w:eastAsia="Times New Roman" w:hAnsi="inherit" w:cs="Arial"/>
          <w:b/>
          <w:bCs/>
          <w:i/>
          <w:iCs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inherit" w:eastAsia="Times New Roman" w:hAnsi="inherit" w:cs="Arial"/>
          <w:b/>
          <w:bCs/>
          <w:i/>
          <w:iCs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Arial"/>
          <w:b/>
          <w:bCs/>
          <w:i/>
          <w:iCs/>
          <w:position w:val="2"/>
          <w:sz w:val="24"/>
          <w:szCs w:val="24"/>
          <w:bdr w:val="none" w:sz="0" w:space="0" w:color="auto" w:frame="1"/>
          <w:lang w:eastAsia="fr-FR"/>
        </w:rPr>
        <w:t>titled</w:t>
      </w:r>
      <w:proofErr w:type="spellEnd"/>
      <w:r w:rsidRPr="00C320CE">
        <w:rPr>
          <w:rFonts w:ascii="inherit" w:eastAsia="Times New Roman" w:hAnsi="inherit" w:cs="Arial"/>
          <w:b/>
          <w:bCs/>
          <w:i/>
          <w:iCs/>
          <w:position w:val="2"/>
          <w:sz w:val="24"/>
          <w:szCs w:val="24"/>
          <w:bdr w:val="none" w:sz="0" w:space="0" w:color="auto" w:frame="1"/>
          <w:lang w:eastAsia="fr-FR"/>
        </w:rPr>
        <w:t> </w:t>
      </w: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as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given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below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only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submitted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through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email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accounts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listed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below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for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consideration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proofErr w:type="gram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</w:t>
      </w:r>
      <w:proofErr w:type="gram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Title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/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subject</w:t>
      </w:r>
      <w:proofErr w:type="spellEnd"/>
      <w:r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of</w:t>
      </w:r>
      <w:r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email:SUBMISSION</w:t>
      </w:r>
      <w:proofErr w:type="spellEnd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–AUECHO2024-(INSERTTITLE OF ARTICLE)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 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Receiving</w:t>
      </w:r>
      <w:proofErr w:type="spellEnd"/>
      <w:r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r w:rsidRPr="00C320CE">
        <w:rPr>
          <w:rFonts w:ascii="inherit" w:eastAsia="Times New Roman" w:hAnsi="inherit" w:cs="Arial"/>
          <w:b/>
          <w:bCs/>
          <w:position w:val="2"/>
          <w:sz w:val="24"/>
          <w:szCs w:val="24"/>
          <w:bdr w:val="none" w:sz="0" w:space="0" w:color="auto" w:frame="1"/>
          <w:lang w:eastAsia="fr-FR"/>
        </w:rPr>
        <w:t>emails:</w:t>
      </w: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br/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Send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all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manuscripts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correspondence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 </w:t>
      </w:r>
      <w:hyperlink r:id="rId17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GamalK@africa-union.org</w:t>
        </w:r>
      </w:hyperlink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 </w:t>
      </w: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copying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Managing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Editor at </w:t>
      </w:r>
      <w:hyperlink r:id="rId18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MusabayanaW@africa-union.org</w:t>
        </w:r>
      </w:hyperlink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 and </w:t>
      </w:r>
      <w:hyperlink r:id="rId19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DIC@africa-union.org</w:t>
        </w:r>
      </w:hyperlink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</w:p>
    <w:p w:rsidR="00C320CE" w:rsidRDefault="00C320CE" w:rsidP="00C320CE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0" w:line="384" w:lineRule="atLeast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 xml:space="preserve">Deadline for </w:t>
      </w:r>
      <w:proofErr w:type="spellStart"/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Submission</w:t>
      </w:r>
      <w:proofErr w:type="spellEnd"/>
    </w:p>
    <w:p w:rsidR="00C320CE" w:rsidRPr="00C320CE" w:rsidRDefault="00C320CE" w:rsidP="00C320CE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sz w:val="27"/>
          <w:szCs w:val="28"/>
          <w:lang w:eastAsia="fr-FR"/>
        </w:rPr>
      </w:pPr>
      <w:proofErr w:type="spellStart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>Manuscripts</w:t>
      </w:r>
      <w:proofErr w:type="spellEnd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 xml:space="preserve"> must </w:t>
      </w:r>
      <w:proofErr w:type="spellStart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>be</w:t>
      </w:r>
      <w:proofErr w:type="spellEnd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>received</w:t>
      </w:r>
      <w:proofErr w:type="spellEnd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 xml:space="preserve"> </w:t>
      </w:r>
      <w:proofErr w:type="spellStart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>beforeor</w:t>
      </w:r>
      <w:proofErr w:type="spellEnd"/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 xml:space="preserve"> by</w:t>
      </w:r>
      <w:r w:rsidRPr="00C320CE">
        <w:rPr>
          <w:rFonts w:ascii="inherit" w:eastAsia="Times New Roman" w:hAnsi="inherit" w:cs="Times New Roman"/>
          <w:b/>
          <w:bCs/>
          <w:sz w:val="27"/>
          <w:szCs w:val="28"/>
          <w:bdr w:val="none" w:sz="0" w:space="0" w:color="auto" w:frame="1"/>
          <w:lang w:eastAsia="fr-FR"/>
        </w:rPr>
        <w:t xml:space="preserve"> 17.00 East </w:t>
      </w:r>
      <w:proofErr w:type="spellStart"/>
      <w:r w:rsidRPr="00C320CE">
        <w:rPr>
          <w:rFonts w:ascii="inherit" w:eastAsia="Times New Roman" w:hAnsi="inherit" w:cs="Times New Roman"/>
          <w:b/>
          <w:bCs/>
          <w:sz w:val="27"/>
          <w:szCs w:val="28"/>
          <w:bdr w:val="none" w:sz="0" w:space="0" w:color="auto" w:frame="1"/>
          <w:lang w:eastAsia="fr-FR"/>
        </w:rPr>
        <w:t>AfricanTime</w:t>
      </w:r>
      <w:proofErr w:type="spellEnd"/>
      <w:r w:rsidRPr="00C320CE">
        <w:rPr>
          <w:rFonts w:ascii="inherit" w:eastAsia="Times New Roman" w:hAnsi="inherit" w:cs="Times New Roman"/>
          <w:b/>
          <w:bCs/>
          <w:sz w:val="27"/>
          <w:szCs w:val="28"/>
          <w:bdr w:val="none" w:sz="0" w:space="0" w:color="auto" w:frame="1"/>
          <w:lang w:eastAsia="fr-FR"/>
        </w:rPr>
        <w:t xml:space="preserve"> (GMT+3) on Thursday 30th </w:t>
      </w:r>
      <w:proofErr w:type="spellStart"/>
      <w:r w:rsidRPr="00C320CE">
        <w:rPr>
          <w:rFonts w:ascii="inherit" w:eastAsia="Times New Roman" w:hAnsi="inherit" w:cs="Times New Roman"/>
          <w:b/>
          <w:bCs/>
          <w:sz w:val="27"/>
          <w:szCs w:val="28"/>
          <w:bdr w:val="none" w:sz="0" w:space="0" w:color="auto" w:frame="1"/>
          <w:lang w:eastAsia="fr-FR"/>
        </w:rPr>
        <w:t>November</w:t>
      </w:r>
      <w:proofErr w:type="spellEnd"/>
      <w:r w:rsidRPr="00C320CE">
        <w:rPr>
          <w:rFonts w:ascii="inherit" w:eastAsia="Times New Roman" w:hAnsi="inherit" w:cs="Times New Roman"/>
          <w:b/>
          <w:bCs/>
          <w:sz w:val="27"/>
          <w:szCs w:val="28"/>
          <w:bdr w:val="none" w:sz="0" w:space="0" w:color="auto" w:frame="1"/>
          <w:lang w:eastAsia="fr-FR"/>
        </w:rPr>
        <w:t xml:space="preserve"> 2023</w:t>
      </w:r>
    </w:p>
    <w:p w:rsidR="00C320CE" w:rsidRPr="00C320CE" w:rsidRDefault="00C320CE" w:rsidP="00C320CE">
      <w:pPr>
        <w:shd w:val="clear" w:color="auto" w:fill="FFFFFF"/>
        <w:spacing w:after="300" w:line="384" w:lineRule="atLeast"/>
        <w:textAlignment w:val="baseline"/>
        <w:rPr>
          <w:rFonts w:ascii="inherit" w:eastAsia="Times New Roman" w:hAnsi="inherit" w:cs="Times New Roman"/>
          <w:sz w:val="27"/>
          <w:szCs w:val="28"/>
          <w:lang w:eastAsia="fr-FR"/>
        </w:rPr>
      </w:pPr>
      <w:r w:rsidRPr="00C320CE">
        <w:rPr>
          <w:rFonts w:ascii="inherit" w:eastAsia="Times New Roman" w:hAnsi="inherit" w:cs="Times New Roman"/>
          <w:sz w:val="27"/>
          <w:szCs w:val="28"/>
          <w:lang w:eastAsia="fr-FR"/>
        </w:rPr>
        <w:t> 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inherit" w:eastAsia="Times New Roman" w:hAnsi="inherit" w:cs="Arial"/>
          <w:b/>
          <w:bCs/>
          <w:position w:val="2"/>
          <w:sz w:val="30"/>
          <w:szCs w:val="30"/>
          <w:bdr w:val="none" w:sz="0" w:space="0" w:color="auto" w:frame="1"/>
          <w:lang w:eastAsia="fr-FR"/>
        </w:rPr>
        <w:t>About the AU ECHO: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The AU ECHO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provides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platform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for the 55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Member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States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Union,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citizens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 profile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successes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and to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impart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knowledge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experiences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borne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from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led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initiatives,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based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on the instruments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decisions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Union. It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published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on an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annual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basis by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Directorate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Information and Communication of the AUC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with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content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largely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related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AU’s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Theme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Year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.</w:t>
      </w:r>
    </w:p>
    <w:p w:rsid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</w:pPr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lastRenderedPageBreak/>
        <w:t xml:space="preserve">The AU ECHO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distributed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to AU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Heads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of State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Government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Ministers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senior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policy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makers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’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delegates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, and media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during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the AU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Summits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other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substantive meetings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conferences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as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well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as to offices of the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African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Union. Distribution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also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made to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development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partner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organisations and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consulates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/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embassies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in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Addis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Ababa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. Soft copies are </w:t>
      </w:r>
      <w:proofErr w:type="spellStart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>posted</w:t>
      </w:r>
      <w:proofErr w:type="spellEnd"/>
      <w:r w:rsidRPr="00C320CE"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online on</w:t>
      </w:r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  <w:hyperlink r:id="rId20" w:history="1">
        <w:r w:rsidRPr="00CA6C7E">
          <w:rPr>
            <w:rStyle w:val="Lienhypertexte"/>
            <w:rFonts w:ascii="Arial" w:eastAsia="Times New Roman" w:hAnsi="Arial" w:cs="Arial"/>
            <w:position w:val="2"/>
            <w:sz w:val="24"/>
            <w:szCs w:val="24"/>
            <w:bdr w:val="none" w:sz="0" w:space="0" w:color="auto" w:frame="1"/>
            <w:lang w:eastAsia="fr-FR"/>
          </w:rPr>
          <w:t>https://au.int/en/documents/1148</w:t>
        </w:r>
      </w:hyperlink>
    </w:p>
    <w:p w:rsid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position w:val="2"/>
          <w:sz w:val="24"/>
          <w:szCs w:val="24"/>
          <w:bdr w:val="none" w:sz="0" w:space="0" w:color="auto" w:frame="1"/>
          <w:lang w:eastAsia="fr-FR"/>
        </w:rPr>
        <w:t xml:space="preserve"> </w:t>
      </w:r>
    </w:p>
    <w:p w:rsidR="00C320CE" w:rsidRPr="00C320CE" w:rsidRDefault="00C320CE" w:rsidP="00C320CE">
      <w:pPr>
        <w:shd w:val="clear" w:color="auto" w:fill="FFFFFF"/>
        <w:spacing w:after="0" w:line="384" w:lineRule="atLeast"/>
        <w:jc w:val="both"/>
        <w:textAlignment w:val="baseline"/>
        <w:rPr>
          <w:rFonts w:ascii="Symbol" w:eastAsia="Times New Roman" w:hAnsi="Symbol" w:cs="Times New Roman"/>
          <w:position w:val="2"/>
          <w:lang w:eastAsia="fr-FR"/>
        </w:rPr>
      </w:pPr>
    </w:p>
    <w:p w:rsidR="00C320CE" w:rsidRPr="00C320CE" w:rsidRDefault="00C320CE" w:rsidP="00C320CE">
      <w:pPr>
        <w:shd w:val="clear" w:color="auto" w:fill="FFFFFF"/>
        <w:spacing w:after="300" w:line="384" w:lineRule="atLeast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fr-FR"/>
        </w:rPr>
      </w:pPr>
      <w:r w:rsidRPr="00C320CE">
        <w:rPr>
          <w:rFonts w:ascii="inherit" w:eastAsia="Times New Roman" w:hAnsi="inherit" w:cs="Times New Roman"/>
          <w:sz w:val="21"/>
          <w:szCs w:val="21"/>
          <w:lang w:eastAsia="fr-FR"/>
        </w:rPr>
        <w:t> </w:t>
      </w:r>
    </w:p>
    <w:p w:rsidR="00DC30A9" w:rsidRPr="00C320CE" w:rsidRDefault="00DC30A9"/>
    <w:sectPr w:rsidR="00DC30A9" w:rsidRPr="00C3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CB6"/>
    <w:multiLevelType w:val="multilevel"/>
    <w:tmpl w:val="FA52D8B0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967AC"/>
    <w:multiLevelType w:val="multilevel"/>
    <w:tmpl w:val="231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6846C2"/>
    <w:multiLevelType w:val="multilevel"/>
    <w:tmpl w:val="89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B128D"/>
    <w:multiLevelType w:val="multilevel"/>
    <w:tmpl w:val="C7C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0635E8"/>
    <w:multiLevelType w:val="multilevel"/>
    <w:tmpl w:val="6EE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A139F"/>
    <w:multiLevelType w:val="multilevel"/>
    <w:tmpl w:val="E6F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751C6C"/>
    <w:multiLevelType w:val="multilevel"/>
    <w:tmpl w:val="E6F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FA0A35"/>
    <w:multiLevelType w:val="hybridMultilevel"/>
    <w:tmpl w:val="81865DCE"/>
    <w:lvl w:ilvl="0" w:tplc="E7C4C5E0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CE"/>
    <w:rsid w:val="00C320CE"/>
    <w:rsid w:val="00D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E862"/>
  <w15:chartTrackingRefBased/>
  <w15:docId w15:val="{071E5D3C-4A6A-4AD6-8014-95BAE53E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32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320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C320CE"/>
    <w:rPr>
      <w:color w:val="0000FF"/>
      <w:u w:val="single"/>
    </w:rPr>
  </w:style>
  <w:style w:type="character" w:customStyle="1" w:styleId="a2akit">
    <w:name w:val="a2a_kit"/>
    <w:basedOn w:val="Policepardfaut"/>
    <w:rsid w:val="00C320CE"/>
  </w:style>
  <w:style w:type="character" w:styleId="lev">
    <w:name w:val="Strong"/>
    <w:basedOn w:val="Policepardfaut"/>
    <w:uiPriority w:val="22"/>
    <w:qFormat/>
    <w:rsid w:val="00C320CE"/>
    <w:rPr>
      <w:b/>
      <w:bCs/>
    </w:rPr>
  </w:style>
  <w:style w:type="character" w:customStyle="1" w:styleId="date-display-range">
    <w:name w:val="date-display-range"/>
    <w:basedOn w:val="Policepardfaut"/>
    <w:rsid w:val="00C320CE"/>
  </w:style>
  <w:style w:type="character" w:customStyle="1" w:styleId="date-display-start">
    <w:name w:val="date-display-start"/>
    <w:basedOn w:val="Policepardfaut"/>
    <w:rsid w:val="00C320CE"/>
  </w:style>
  <w:style w:type="character" w:customStyle="1" w:styleId="date-display-end">
    <w:name w:val="date-display-end"/>
    <w:basedOn w:val="Policepardfaut"/>
    <w:rsid w:val="00C320CE"/>
  </w:style>
  <w:style w:type="paragraph" w:styleId="NormalWeb">
    <w:name w:val="Normal (Web)"/>
    <w:basedOn w:val="Normal"/>
    <w:uiPriority w:val="99"/>
    <w:semiHidden/>
    <w:unhideWhenUsed/>
    <w:rsid w:val="00C3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88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3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4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2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82577" TargetMode="External"/><Relationship Id="rId13" Type="http://schemas.openxmlformats.org/officeDocument/2006/relationships/hyperlink" Target="https://au.int/en/documents/20181022/continental-strategy-technical-and-vocational-educational-and-training-tvet" TargetMode="External"/><Relationship Id="rId18" Type="http://schemas.openxmlformats.org/officeDocument/2006/relationships/hyperlink" Target="mailto:MusabayanaW@africa-union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esco.org/sdg4education2030/en/sdg4" TargetMode="External"/><Relationship Id="rId12" Type="http://schemas.openxmlformats.org/officeDocument/2006/relationships/hyperlink" Target="https://au.int/node/33127%20" TargetMode="External"/><Relationship Id="rId17" Type="http://schemas.openxmlformats.org/officeDocument/2006/relationships/hyperlink" Target="mailto:GamalK@africa-unio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.int/en/documents/1148" TargetMode="External"/><Relationship Id="rId20" Type="http://schemas.openxmlformats.org/officeDocument/2006/relationships/hyperlink" Target="https://au.int/en/documents/11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u.int/node/29958" TargetMode="External"/><Relationship Id="rId11" Type="http://schemas.openxmlformats.org/officeDocument/2006/relationships/hyperlink" Target="https://au.int/en/treaties%20%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u.int/node/36195" TargetMode="External"/><Relationship Id="rId10" Type="http://schemas.openxmlformats.org/officeDocument/2006/relationships/hyperlink" Target="https://au.int/agenda2063/overview" TargetMode="External"/><Relationship Id="rId19" Type="http://schemas.openxmlformats.org/officeDocument/2006/relationships/hyperlink" Target="mailto:DIC@africa-un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.int/node/29514" TargetMode="External"/><Relationship Id="rId14" Type="http://schemas.openxmlformats.org/officeDocument/2006/relationships/hyperlink" Target="https://cieffa.au.int/sites/default/files/files/2022-04/statuteau-cieffaeng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1553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2023-11-20T17:51:00Z</dcterms:created>
  <dcterms:modified xsi:type="dcterms:W3CDTF">2023-11-20T18:00:00Z</dcterms:modified>
</cp:coreProperties>
</file>